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33" w:rsidRPr="009F7633" w:rsidRDefault="009F7633" w:rsidP="009F7633">
      <w:pPr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ТИПОВАЯ ТЕХНОЛОГИЧЕСКАЯ КАРТА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НА ЛИКВИДАЦИЮ ТЕХНОЛОГИЧЕСКИХ РАЗРЫВОВ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ПРИ СТРОИТЕЛЬСТВЕ МАГИСТРАЛЬНЫХ ТРУБОПРОВОДОВ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ДИАМЕТРАМИ 1020 - 1420 ММ</w:t>
      </w:r>
    </w:p>
    <w:p w:rsidR="009F7633" w:rsidRPr="009F7633" w:rsidRDefault="009F7633" w:rsidP="009F7633">
      <w:pPr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F7633" w:rsidRPr="009F7633" w:rsidRDefault="009F7633" w:rsidP="009F7633">
      <w:pPr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F7633" w:rsidRPr="009F7633" w:rsidRDefault="009F7633" w:rsidP="009F7633">
      <w:pPr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1981</w:t>
      </w:r>
    </w:p>
    <w:p w:rsidR="009F7633" w:rsidRPr="009F7633" w:rsidRDefault="009F7633" w:rsidP="009F7633">
      <w:pPr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Типовая технологическая карта устанавливает технологию и организацию работ по ликвидации технологических разрывов при строительстве магистральных трубопроводов диаметрами 1020, 1220 и 1420 мм.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технологической карте рассмотрены вопросы организации и технологии строительного процесса; приведены технико-экономические показатели, график выполнения работ, калькуляции трудовых затрат, материально-технические ресурсы, требования по технике безопасности, схемы производства работ.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Карта предназначена для производителей работ, мастеров, рабочих, а также организаций, разрабатывающих проекты производства работ.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выполнена отделом магистральных трубопроводов.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Технологическая карта согласована с отделом охраны труда и техники безопасности Министерства строительства предприятий нефтяной и газовой промышленности 4 сентября 1980 г.</w:t>
      </w:r>
    </w:p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0" w:name="i16743"/>
      <w:r w:rsidRPr="009F7633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4"/>
          <w:szCs w:val="24"/>
          <w:lang w:val="ru-RU"/>
        </w:rPr>
        <w:t>Введение</w:t>
      </w:r>
      <w:bookmarkEnd w:id="0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Типовая технологическая карта на ликвидацию технологических разрывов при строительстве магистральных трубопроводов входит в комплекс типовых технологических карт на строительство линейной части магистральных трубопроводов диаметрами 1020 - 1420 мм в нормальных условиях.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Карта разработана в соответствии с требованиями СН 47-74 и Руководством по разработке типовых технологических карт в строительстве.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Квалификация исполнителей и тарификация выполняемых ими работ приняты в соответствии с Тарифно-квалификационным справочником, утвержденным Государственным Комитетом Совета Министров СССР по вопросам труда и заработной платы.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Калькуляции трудовых затрат составлены в соответствии с Ведомственными нормами и расценками на строительные, монтажные и ремонтно-строительные работы [</w:t>
      </w:r>
      <w:hyperlink r:id="rId4" w:anchor="i183510" w:tooltip="Литература 7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7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разработке карты использована основная нормативная и техническая литература [</w:t>
      </w:r>
      <w:hyperlink r:id="rId5" w:anchor="i167563" w:tooltip="Литература 1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i224518" w:tooltip="Литература 12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12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" w:name="i28963"/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ОБЛАСТЬ ПРИМЕНЕНИЯ</w:t>
      </w:r>
      <w:bookmarkEnd w:id="1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Типовая технологическая карта разработана на ликвидацию технологических разрывов при строительстве магистральных трубопроводов диаметрами 1020 - 1420 мм.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1.2. При разработке типовой технологической карты приняты следующие исходные положения: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толщина стенок труб диаметром 1020 мм - 12 и 14 мм;</w:t>
      </w:r>
    </w:p>
    <w:p w:rsidR="009F7633" w:rsidRPr="009F7633" w:rsidRDefault="009F7633" w:rsidP="009F7633">
      <w:pPr>
        <w:spacing w:after="0" w:line="240" w:lineRule="auto"/>
        <w:ind w:firstLine="156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 же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1220 мм - 12 и 16 мм;</w:t>
      </w:r>
    </w:p>
    <w:p w:rsidR="009F7633" w:rsidRPr="009F7633" w:rsidRDefault="009F7633" w:rsidP="009F7633">
      <w:pPr>
        <w:spacing w:after="0" w:line="240" w:lineRule="auto"/>
        <w:ind w:firstLine="163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» -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1420 мм - 18 и 20,5 мм.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Трубы изготовлены из спокойных и полуспокойных низколегированных сталей с пределом прочности до 55 кгс/мм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Монтаж, сварку и изоляцию технологических захлестов и врезку катушек производят в траншее.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конструкция изоляционного покрытия - двуслойное из липких полимерных лент.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1.3. В состав работ, рассматриваемых картой, входят: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и сварка трубопровода на захлестах;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врезка и сварка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катушек;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изоляция катушек и захлестов в траншее вручную.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1.4. Работы выполняются в летний период (в условиях равниной местности и грунтах естественной влажности) и ведутся в одну смену продолжительностью 6,82 ч.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1.5. Привязка типовой технологической карты к конкретным условиям строительства должна включать: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 сезона производства работ;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определение производительности труда при условии изменения сменности работ;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расчет калькуляции трудовых затрат с использованием поправочных коэффициентов для выполнения работ в усложненных условиях с применением технологии и организации, предусмотренной картой на нормальные условия;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 объемов работ, средств механизации и расхода материалов при изменении конструктивных параметров трубы (толщина стенки, марка стали, разделка кромок), тип и марки электродов, а при использовании дополнительных механизмов увеличение в связи с этим состава звена (бригады).</w:t>
      </w:r>
    </w:p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2" w:name="i34764"/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</w:t>
      </w:r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  <w:t>. ОРГАНИЗАЦИЯ И ТЕХНОЛОГИЯ ПРОИЗВОДСТВА РАБОТ</w:t>
      </w:r>
      <w:bookmarkEnd w:id="2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2.1. До начала работ по ликвидации технологических разрывов (захлестов и катушек) необходимо: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оставить незасыпанными в местах технологических разрывов концы уложенного трубопровода длиной до 80 - 100 м в зависимости от диаметра трубопровода;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вырыть приямки заблаговременно в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местах захлеста или врезки катушки;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доставить к месту врезки катушки трубу необходимой длины;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перебазировать к месту ведения работ механизмы, инструмент и необходимые материалы (трубы, полимерные ленты, электроды).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 Монтаж трубопровода при ликвидации технологического захлеста производят в следующей технологической последовательности (рис.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i47699" w:tooltip="Рисунок 1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определить место реза под стык технологического захлеста (стык должен быть расположен на расстоянии не менее одного диаметра от соседнего стыка);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приподнять после снятия инвентарных заглушек плеть, подлежащую обрезу, трубоукладчиком вверх и отвести в сторону на 20 - 25 см из верхней образующей плети, лежащей на дне траншеи;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очистить от изоляции концы труб и произвести разметку линии реза с таким расчетом, чтобы зазор в стыке не превышал допустимой величины для данного диаметра и толщины стенок труб;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обрезать под фаску конец верхней трубы машинкой для резки труб «Орбита-2».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i4769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91505" cy="2478405"/>
            <wp:effectExtent l="19050" t="0" r="4445" b="0"/>
            <wp:docPr id="31" name="Рисунок 31" descr="http://meganorm.ru/Data2/1/4294814/4294814508.files/x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eganorm.ru/Data2/1/4294814/4294814508.files/x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47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 1. Схема организации работ при ликвидации технологического захлеста: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1 - трубоукладчик; 2 - сварочная установка; 3 - аппаратура для резки; 4 - центратор наружный; 5 - машина для обрезки труб.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 резки поверхность кромок труб должна быть ровной без выступов и вырывов. Кромки тщательно обрабатывают шлифовальной машинкой с внутренней и наружной стороны. Угол скоса должен быть 30 - 35°, притупление 1,5 - 2 мм. Косину стыка (неперпендикулярность торца трубы к ее образующей) проверяют при помощи специальных шаблонов.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2.3. Трубоукладчиком верхнюю плеть опускают на дно траншеи, собирают и центруют ее с помощью наружного центратора типа ЦЗ.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Зазор в стыке перед сваркой должен соответствовать 3,0 - 3,5 мм. Центровку стыка выполняют без натяжки силовыми механизмами.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2.4. По окончании сборки и подгонки прихватывают и сваривают стык.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2.5. Монтаж стыка при врезке катушек осуществляют в следующей технологической последовательности (рис.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anchor="i55151" w:tooltip="Рисунок 2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2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очищают от изоляции концы плетей, затем кромки катушки и плети зачищают шлифовальной машинкой с внутренней и наружной стороны до металлического блеска на ширину не менее 10 мм;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приподнимают трубоукладчиком конец одной из плетей, лежащих на дне траншеи;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пристыковывают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вторым трубоукладчиком катушку к приподнятой плети и удерживают ее в этом положении до окончания сборки и сварки стыка с помощью наружного центратора типа ЦЗ.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Монтаж второго стыка при врезке катушки производят аналогично монтажу стыка при ликвидации технологического захлеста.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i5515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31510" cy="2405380"/>
            <wp:effectExtent l="19050" t="0" r="2540" b="0"/>
            <wp:docPr id="32" name="Рисунок 32" descr="http://meganorm.ru/Data2/1/4294814/4294814508.files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eganorm.ru/Data2/1/4294814/4294814508.files/x0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 2. Схема организации работ при врезке катушки: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1 - трубоукладчик; 2 - сварочная установка; 3 - аппаратура для резки; 4 - центратор наружный; 5 - газорежущая машинка.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2.6. Сварку стыков при монтаже захлестов и катушек следует производить по технологии, установленной в технологических картах на сборку и сварку секций в нитку при строительстве магистральных трубопроводов диаметрами 1020, 1220, 1420 мм.</w:t>
      </w:r>
    </w:p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Режимы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сварки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1426"/>
        <w:gridCol w:w="1902"/>
        <w:gridCol w:w="1522"/>
        <w:gridCol w:w="1522"/>
        <w:gridCol w:w="1618"/>
      </w:tblGrid>
      <w:tr w:rsidR="009F7633" w:rsidRPr="009F7633" w:rsidTr="009F7633">
        <w:trPr>
          <w:tblHeader/>
          <w:jc w:val="center"/>
        </w:trPr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электродов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Диметр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2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Сила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, А</w:t>
            </w:r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 положении шва в пространстве</w:t>
            </w:r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нижнее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вертикальное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потолочное</w:t>
            </w:r>
            <w:proofErr w:type="spellEnd"/>
          </w:p>
        </w:tc>
      </w:tr>
      <w:tr w:rsidR="009F7633" w:rsidRPr="009F7633" w:rsidTr="009F7633">
        <w:trPr>
          <w:jc w:val="center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УОНИ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13/55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130 - 140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120 - 130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110 - 120</w:t>
            </w:r>
          </w:p>
        </w:tc>
      </w:tr>
      <w:tr w:rsidR="009F7633" w:rsidRPr="009F7633" w:rsidTr="009F7633">
        <w:trPr>
          <w:jc w:val="center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130 - 140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120 -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110 - 120</w:t>
            </w:r>
          </w:p>
        </w:tc>
      </w:tr>
      <w:tr w:rsidR="009F7633" w:rsidRPr="009F7633" w:rsidTr="009F7633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УОНИ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13/55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ВСФ-50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Шварц-3к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ind w:left="720" w:hanging="72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05105" cy="622935"/>
                  <wp:effectExtent l="0" t="0" r="4445" b="0"/>
                  <wp:docPr id="33" name="Рисунок 33" descr="http://meganorm.ru/Data2/1/4294814/4294814508.files/x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eganorm.ru/Data2/1/4294814/4294814508.files/x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160 - 200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150 -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140 - 160</w:t>
            </w:r>
          </w:p>
        </w:tc>
      </w:tr>
      <w:tr w:rsidR="009F7633" w:rsidRPr="009F7633" w:rsidTr="009F7633">
        <w:trPr>
          <w:jc w:val="center"/>
        </w:trPr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200 - 250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F7633" w:rsidRPr="009F7633" w:rsidRDefault="009F7633" w:rsidP="009F7633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Каждый слой шва перед наложением последующего необходимо тщательно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зачистить от шлака шлифовальной машинкой. Облицовочный шов обивают от шлака пневмозубилом. На шве не должно оставаться незаваренных кратеров. Шов должен быть без подрезов. Высота усиления шва должна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от 1 до 3 мм (в зависимости от стенки трубы).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2.7. В качестве источника питания для сварки стыков используют самоходные двухпостовые сварочные установки СДУ-2В.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2.8. Работы по изоляции захлестов и катушек производят после контроля качества сварных стыков в следующей технологической последовательности (рис.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anchor="i62339" w:tooltip="Рисунок 3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3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подчищают вручную готовый приямок;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приподнимают трубоукладчиком плеть на высоту 400 - 500 мм над дном траншеи и удерживают в этом положении;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очищают места изоляции длиной 2,5 м от ржавчины, грязи и полимерной ленты;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приготовляют грунтовку и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наносят на место изоляции;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изолируют трубопровод вручную двумя слоями полимерной ленты и защитной оберткой.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i6233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64530" cy="2822575"/>
            <wp:effectExtent l="19050" t="0" r="7620" b="0"/>
            <wp:docPr id="34" name="Рисунок 34" descr="http://meganorm.ru/Data2/1/4294814/4294814508.files/x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ganorm.ru/Data2/1/4294814/4294814508.files/x0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 3. Схема организации работ при изоляции захлеста и катушки: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1 - трубоукладчик; 2 - переходной мостик; 3 - лестница.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Изоляция, нанесенная вручную, должна иметь плавный переход к изоляции основного трубопровода, нанесенной механизированным способом.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2.9. По окончании изоляционных работ трубопровод плавно опускают в траншею.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2.10. Для выполнения комплекса работ по монтажу, сварке и изоляции захлестов и катушек организуют бригаду в составе 12 человек с переменным составом звеньев.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2.11. Методы и приемы труда рабочих по монтажу, сварке и изоляции захлестов и катушек в карте не представлены и разрабатываются в отдельных картах трудовых процессов.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2.12. Графики выполнения работ приведены в табл. 3 и 4.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2.13. Калькуляции трудовых затрат составлены на основании норм и расценок сборника</w:t>
      </w:r>
      <w:proofErr w:type="gram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31 и представлены в табл.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4" w:anchor="i83294" w:tooltip="Таблица 5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5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2/1/4294814/4294814508.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95055" \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"Таблица 6" 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9F763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6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F7633" w:rsidRPr="009F7633" w:rsidRDefault="009F7633" w:rsidP="009F7633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633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Примечание. При выполнении работ в условиях, не предусмотренных картой, в нормах времени и расценках учитываются коэффициенты, указанные в табл.</w:t>
      </w:r>
      <w:r w:rsidRPr="009F7633">
        <w:rPr>
          <w:rFonts w:ascii="Times New Roman" w:eastAsia="Times New Roman" w:hAnsi="Times New Roman" w:cs="Times New Roman"/>
          <w:color w:val="000000"/>
          <w:sz w:val="20"/>
        </w:rPr>
        <w:t> </w:t>
      </w:r>
      <w:hyperlink r:id="rId15" w:anchor="i75177" w:tooltip="Таблица 2" w:history="1">
        <w:r w:rsidRPr="009F7633">
          <w:rPr>
            <w:rFonts w:ascii="Times New Roman" w:eastAsia="Times New Roman" w:hAnsi="Times New Roman" w:cs="Times New Roman"/>
            <w:color w:val="800080"/>
            <w:sz w:val="20"/>
            <w:u w:val="single"/>
          </w:rPr>
          <w:t>2</w:t>
        </w:r>
      </w:hyperlink>
      <w:r w:rsidRPr="009F763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0"/>
        <w:gridCol w:w="5477"/>
        <w:gridCol w:w="2209"/>
      </w:tblGrid>
      <w:tr w:rsidR="009F7633" w:rsidRPr="009F7633" w:rsidTr="009F7633">
        <w:trPr>
          <w:tblHeader/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6" w:name="i75177"/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</w:t>
            </w:r>
            <w:bookmarkEnd w:id="6"/>
            <w:proofErr w:type="spellEnd"/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работ и характеристика условий строительства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Коэффициент к нормам времени и расценкам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1 В 31-14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1 В 31-15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и сварка трубопровода на захлестах и врезка катушек на бровке траншеи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 В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1-14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3 В 31-15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и сварка трубопровода при работе в горной местности и на уклонах свыше 7°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3 В 31-14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захлеста с рабочей плетью на переходах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 В 31-15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Врезка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крестовин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1 § 15А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В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Монтаж и сварка трубопровода на захлестах, в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резка и сварка катушек на болотах, по которым машины передвигаются на 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настилах и сланях или без них с погружением ходовой части в грунт на глубину до 200 мм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1,15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 же на болотах, по которым машины передвигаются без настила и сланей с погружением ходовой части в грунт на глубину более 200 мм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1,25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 § 15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В 31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и сварка трубопровода на захлестах и врезка катушек в зоне сыпучих песков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 В 31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и сварка трубопровода на захлестах из сталей повышенной прочности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9F7633" w:rsidRPr="009F7633" w:rsidTr="009F763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 же при врезке катушек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</w:tr>
    </w:tbl>
    <w:p w:rsidR="009F7633" w:rsidRPr="009F7633" w:rsidRDefault="009F7633" w:rsidP="009F7633">
      <w:pPr>
        <w:spacing w:before="120"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2.14. Контроль качества работ по ликвидации технологических разрывов включает следующее: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проверку квалификации сварщиков в соответствии с Правилами аттестации электросварщиков и газосварщиков, утвержденных Госгортехнадзором СССР;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проверку качества применяемых материалов;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операционный контроль в процессе производства работ;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внешний осмотр сварного шва и изоляционного покрытия;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физическую проверку сварных стыков без их разрушения;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лабораторную проверку изоляционного покрытия.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Операционный контроль качества выполняют в соответствии с требованиями главы СНиП, карт операционного контроля качества и указаний ВНИИСТа.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Схема операционного контроля качества выполнения работ приведена в табл.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6" w:anchor="i103048" w:tooltip="Таблица 7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7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3</w:t>
      </w:r>
    </w:p>
    <w:p w:rsidR="009F7633" w:rsidRPr="009F7633" w:rsidRDefault="009F7633" w:rsidP="009F763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захлестов</w:t>
      </w:r>
      <w:proofErr w:type="spellEnd"/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04535" cy="3697605"/>
            <wp:effectExtent l="19050" t="0" r="5715" b="0"/>
            <wp:docPr id="35" name="Рисунок 35" descr="http://meganorm.ru/Data2/1/4294814/4294814508.files/x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eganorm.ru/Data2/1/4294814/4294814508.files/x0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33" w:rsidRPr="009F7633" w:rsidRDefault="009F7633" w:rsidP="009F7633">
      <w:pPr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>Таблица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</w:p>
    <w:p w:rsidR="009F7633" w:rsidRPr="009F7633" w:rsidRDefault="009F7633" w:rsidP="009F7633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График выполнения работ на врезку катушки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31510" cy="3412490"/>
            <wp:effectExtent l="19050" t="0" r="2540" b="0"/>
            <wp:docPr id="36" name="Рисунок 36" descr="http://meganorm.ru/Data2/1/4294814/4294814508.files/x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eganorm.ru/Data2/1/4294814/4294814508.files/x02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33" w:rsidRPr="009F7633" w:rsidRDefault="009F7633" w:rsidP="009F7633">
      <w:pPr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>Таблица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Калькуляция трудовых затрат на ликвидацию технологического захлеста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1984"/>
        <w:gridCol w:w="953"/>
        <w:gridCol w:w="1149"/>
        <w:gridCol w:w="1003"/>
        <w:gridCol w:w="743"/>
        <w:gridCol w:w="1421"/>
        <w:gridCol w:w="978"/>
      </w:tblGrid>
      <w:tr w:rsidR="009F7633" w:rsidRPr="009F7633" w:rsidTr="009F7633">
        <w:trPr>
          <w:tblHeader/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7" w:name="i83294"/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Обоснование</w:t>
            </w:r>
            <w:bookmarkEnd w:id="7"/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 времени на единицу измерения, чел.-ч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весь объем, чел.-день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Расценка на единицу измерения,руб.-коп.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Стоимость затрат труда на весь объем, руб.-коп.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 31-14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Монтаж и сварка трубопровода диаметром 1020 мм на захлестах: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захлест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20-60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20-60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«г»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36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» -    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22-29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22-29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диаметром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21-54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21-54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«д»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36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» -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25-26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диаметром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«е»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18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34-17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34-17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«ж»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36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    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»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37-15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37-15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 31-38 «Б»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Изоляция захлеста в траншее вручную полимерными лентами трубы диаметром: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7-70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7-70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9-28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9-28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»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12-60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12-60</w:t>
            </w:r>
          </w:p>
        </w:tc>
      </w:tr>
    </w:tbl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6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Калькуляция трудовых затрат на врезку катушки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1984"/>
        <w:gridCol w:w="953"/>
        <w:gridCol w:w="1149"/>
        <w:gridCol w:w="1003"/>
        <w:gridCol w:w="743"/>
        <w:gridCol w:w="1421"/>
        <w:gridCol w:w="978"/>
      </w:tblGrid>
      <w:tr w:rsidR="009F7633" w:rsidRPr="009F7633" w:rsidTr="009F7633">
        <w:trPr>
          <w:tblHeader/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8" w:name="i95055"/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</w:t>
            </w:r>
            <w:bookmarkEnd w:id="8"/>
            <w:proofErr w:type="spellEnd"/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Норма времени на единицу измерения, чел.-ч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весь объем, чел</w:t>
            </w:r>
            <w:proofErr w:type="gram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Расценка на единицу измерения</w:t>
            </w:r>
            <w:proofErr w:type="gram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,р</w:t>
            </w:r>
            <w:proofErr w:type="gram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уб.-коп.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Стоимость затрат труда на весь объем, руб</w:t>
            </w:r>
            <w:proofErr w:type="gram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коп.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 31-15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Врезка катушек трубы диаметром 1020 мм: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катушка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29-72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29-72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«г»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56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» -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32-69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32-69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диаметром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34-17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34-17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«д»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56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» -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43-09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43-09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диаметром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«е»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18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60-92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60-92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«ж»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firstLine="56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» -           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»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68-35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68-35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Табл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 31-38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Изоляция полимерными лентами вручную трубы диаметром: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13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8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7-70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7-70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14 «в»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8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9-28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9-28</w:t>
            </w:r>
          </w:p>
        </w:tc>
      </w:tr>
      <w:tr w:rsidR="009F7633" w:rsidRPr="009F7633" w:rsidTr="009F7633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п. 15 «в»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8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12-60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12-60</w:t>
            </w:r>
          </w:p>
        </w:tc>
      </w:tr>
    </w:tbl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7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Схема операционного контроля качества выполнения работ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1"/>
        <w:gridCol w:w="2079"/>
        <w:gridCol w:w="1527"/>
        <w:gridCol w:w="1510"/>
        <w:gridCol w:w="1735"/>
        <w:gridCol w:w="1254"/>
      </w:tblGrid>
      <w:tr w:rsidR="009F7633" w:rsidRPr="009F7633" w:rsidTr="009F7633">
        <w:trPr>
          <w:trHeight w:val="20"/>
          <w:tblHeader/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9" w:name="i103048"/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операций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подлежащих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</w:t>
            </w:r>
            <w:bookmarkEnd w:id="9"/>
            <w:proofErr w:type="spellEnd"/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Привлекаемые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</w:t>
            </w:r>
            <w:proofErr w:type="spellEnd"/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сварочных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электродов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Наличие сертификатов, условия хранения, результаты испытания, режимы прокаливания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ПИЛ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кромок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реза (разделка фасок, отсутствие повреждений, выступов, вырывов, наплывов шлака)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Шаблон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Зачистка кромок под сборку и сварку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зачистки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кромок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Непрерывно в процессе сборки стыка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Центровка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стыка</w:t>
            </w:r>
            <w:proofErr w:type="spellEnd"/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сборки, точность установки, зазора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Непрерывно в процессе сборки и центровки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Шаблон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электродуговая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стыка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Периодически (в процессе установки режима)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ПИЛ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Параметры и внешний вид шва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</w:t>
            </w:r>
            <w:proofErr w:type="spellEnd"/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Периодически (после сварки слоя шва или его части)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Очистка 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участка трубопровода под изоляцию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Качество очистки 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наружной поверхности трубопровода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Непрерывно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Визуально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грунтовки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Сплошность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наносимого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слоя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грунтовки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Обертывание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полимерной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лентой</w:t>
            </w:r>
            <w:proofErr w:type="spellEnd"/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Качество обертывания. Количество слоев.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Нахлест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витков, сплошность и равномерность покрытия.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Прилипаемость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дгезиметр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ПИЛ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оберточного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Состояние слоя и параметр нанесения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Визуально</w:t>
            </w:r>
            <w:proofErr w:type="spellEnd"/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Бригадир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F7633" w:rsidRPr="009F7633" w:rsidTr="009F7633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-»-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0" w:name="i114270"/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III. ТЕХНИКО-ЭКОНОМИЧЕСКИЕ ПОКАЗАТЕЛИ</w:t>
      </w:r>
      <w:bookmarkEnd w:id="10"/>
    </w:p>
    <w:p w:rsidR="009F7633" w:rsidRPr="009F7633" w:rsidRDefault="009F7633" w:rsidP="009F7633">
      <w:pPr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8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9"/>
        <w:gridCol w:w="1140"/>
        <w:gridCol w:w="666"/>
        <w:gridCol w:w="760"/>
        <w:gridCol w:w="666"/>
        <w:gridCol w:w="761"/>
        <w:gridCol w:w="667"/>
        <w:gridCol w:w="857"/>
      </w:tblGrid>
      <w:tr w:rsidR="009F7633" w:rsidRPr="009F7633" w:rsidTr="009F7633">
        <w:trPr>
          <w:tblHeader/>
          <w:jc w:val="center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3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трубопровода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Толщина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9F7633" w:rsidRPr="009F7633" w:rsidTr="009F7633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1.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Ликвидация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технологического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захлеста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ликвидацию захлеста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чел.-день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10,19</w:t>
            </w:r>
          </w:p>
        </w:tc>
      </w:tr>
      <w:tr w:rsidR="009F7633" w:rsidRPr="009F7633" w:rsidTr="009F7633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работ по ликвидации одного захлеста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F7633" w:rsidRPr="009F7633" w:rsidTr="009F7633">
        <w:trPr>
          <w:jc w:val="center"/>
        </w:trPr>
        <w:tc>
          <w:tcPr>
            <w:tcW w:w="26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2.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Врезка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катушки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Затраты труда на врезку и изоляцию катушки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чел.-день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16,35</w:t>
            </w:r>
          </w:p>
        </w:tc>
      </w:tr>
      <w:tr w:rsidR="009F7633" w:rsidRPr="009F7633" w:rsidTr="009F7633">
        <w:trPr>
          <w:jc w:val="center"/>
        </w:trPr>
        <w:tc>
          <w:tcPr>
            <w:tcW w:w="2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Продолжительность работ при врезке и изоляции катушки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</w:tbl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1" w:name="i121153"/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IV. МАТЕРИАЛЬНО-ТЕХНИЧЕСКИЕ РЕСУРСЫ</w:t>
      </w:r>
      <w:bookmarkEnd w:id="11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4.1. Потребность в машинах, механизмах, приспособлениях и инструменте приведена в табл.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anchor="i134552" w:tooltip="Таблица 9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9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9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3"/>
        <w:gridCol w:w="1039"/>
        <w:gridCol w:w="1175"/>
        <w:gridCol w:w="2645"/>
        <w:gridCol w:w="606"/>
        <w:gridCol w:w="579"/>
        <w:gridCol w:w="539"/>
      </w:tblGrid>
      <w:tr w:rsidR="009F7633" w:rsidRPr="009F7633" w:rsidTr="009F7633">
        <w:trPr>
          <w:tblHeader/>
          <w:jc w:val="center"/>
        </w:trPr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12" w:name="i134552"/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bookmarkEnd w:id="12"/>
            <w:proofErr w:type="spellEnd"/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26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  <w:proofErr w:type="spellEnd"/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Т1530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Т3560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Д594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Трубоукладчик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диаметром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Грузоподъемность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, 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90,75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Т1530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тсм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3560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Вылет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стрелы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.),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Д594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Высота подъема крюка (макс.),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опускания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двигателя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Д-108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Д-180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393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гусениц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Габаритные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4380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4260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24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6560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7860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24950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35700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5460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СДУ2В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База - трактор Т-100М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Двигатель Д-108М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Мощность двигателя 108 л. с.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Тип сварочного генератора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ГСО-300-5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Сила тока 300 - 250 А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Мощность 9; 7; 5 кВт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генераторов - 2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сварочных постов - 2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Масса 13500 кг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ратор</w:t>
            </w:r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наружный для труб диаметром 1020 мм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Ц3101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Диаметр стыкуемых труб 1020 мм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Масса 54 кг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1220 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Ц3121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Диаметр стыкуемых труб 1220 мм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Масса 74 кг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1420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Ц3141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Диаметр стыкуемых труб 1420 мм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Масса 92 кг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ктрошлифовальная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Ш-230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Ш-178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Скорость вращения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24485" cy="337820"/>
                  <wp:effectExtent l="19050" t="0" r="0" b="0"/>
                  <wp:docPr id="37" name="Рисунок 37" descr="http://meganorm.ru/Data2/1/4294814/4294814508.files/x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eganorm.ru/Data2/1/4294814/4294814508.files/x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proofErr w:type="gram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/мин.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Допускаемая окружная скорость 80 м/с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1361-54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Щуп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зазора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882-64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шаблон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УСШ-2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Светофильтры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электросварщика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9497-60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Светофильтры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газосварщика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ГС-3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конусная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Полотенце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мягкое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резки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фасок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Орбита-2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Питание от: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переменного тока 220 В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постоянного тока 24, 70 В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Потребляемая мощность при: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напряжении 220 В - 6, 11 кВт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напряжении 24 В - 0,10 кВт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напряжении 70 В - 2,1 кВт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Толщина стенки трубы 5 - 75 мм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машинных резаков (РМ-3-4) - 2 шт.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Скорость перемещения резака 300 - 800 м/мин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Давление газов, атм: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кислорода - до 6</w:t>
            </w:r>
          </w:p>
          <w:p w:rsidR="009F7633" w:rsidRPr="009F7633" w:rsidRDefault="009F7633" w:rsidP="009F7633">
            <w:pPr>
              <w:spacing w:after="0" w:line="240" w:lineRule="auto"/>
              <w:ind w:left="20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ацетилена не менее 0,5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машины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</w:tr>
      <w:tr w:rsidR="009F7633" w:rsidRPr="009F7633" w:rsidTr="009F7633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ктрододержатель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ЭДС-125М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 (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каждого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Номинальный ток 125 А</w:t>
            </w:r>
          </w:p>
          <w:p w:rsidR="009F7633" w:rsidRPr="009F7633" w:rsidRDefault="009F7633" w:rsidP="009F7633">
            <w:pPr>
              <w:spacing w:after="0" w:line="240" w:lineRule="auto"/>
              <w:ind w:firstLine="12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ток 200 А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Режим работы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proofErr w:type="gramEnd"/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60 %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Угол установки электрода до</w:t>
            </w:r>
            <w:r w:rsidRPr="009F7633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120°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Диаметр электрода 1 - 4 мм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Масса 0,35 кг</w:t>
            </w:r>
          </w:p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Корпус - термостойкая пластмасса</w:t>
            </w:r>
          </w:p>
        </w:tc>
      </w:tr>
    </w:tbl>
    <w:p w:rsidR="009F7633" w:rsidRPr="009F7633" w:rsidRDefault="009F7633" w:rsidP="009F7633">
      <w:pPr>
        <w:spacing w:before="120" w:after="12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Таблица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10</w:t>
      </w:r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материалах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7"/>
        <w:gridCol w:w="1154"/>
        <w:gridCol w:w="1056"/>
        <w:gridCol w:w="1056"/>
        <w:gridCol w:w="1153"/>
      </w:tblGrid>
      <w:tr w:rsidR="009F7633" w:rsidRPr="009F7633" w:rsidTr="009F7633">
        <w:trPr>
          <w:tblHeader/>
          <w:jc w:val="center"/>
        </w:trPr>
        <w:tc>
          <w:tcPr>
            <w:tcW w:w="2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Диаметр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труб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</w:tr>
      <w:tr w:rsidR="009F7633" w:rsidRPr="009F7633" w:rsidTr="009F7633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Электроды для сварки захлеста при толщине стенки труб: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 же катушки при толщине стенки труб: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left="312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20,5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 «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Ацетилен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9F7633" w:rsidRPr="009F7633" w:rsidTr="009F7633">
        <w:trPr>
          <w:jc w:val="center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Лента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полимерная</w:t>
            </w:r>
            <w:proofErr w:type="spellEnd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липкая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7633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</w:tr>
    </w:tbl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13" w:name="i148994"/>
      <w:r w:rsidRPr="009F76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V. ТЕХНИКА БЕЗОПАСНОСТИ</w:t>
      </w:r>
      <w:bookmarkEnd w:id="13"/>
    </w:p>
    <w:p w:rsidR="009F7633" w:rsidRPr="009F7633" w:rsidRDefault="009F7633" w:rsidP="009F7633">
      <w:pPr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spellEnd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5.1.1. При производстве работ по ликвидации технологических разрывов необходимо руководствоваться действующими нормативными документами: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Строительными нормами и правилами [</w:t>
      </w:r>
      <w:hyperlink r:id="rId21" w:anchor="i178780" w:tooltip="Литература 3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3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 или их последующим изданием.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Правилами техники безопасности при строительстве магистральных стальных трубопроводов [</w:t>
      </w:r>
      <w:hyperlink r:id="rId22" w:anchor="i198144" w:tooltip="Литература 8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8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Сборником инструкций и рекомендаций по технике безопасности для строительно-монтажных организаций нефтяной и газовой промышленности [</w:t>
      </w:r>
      <w:hyperlink r:id="rId23" w:anchor="i217836" w:tooltip="Литература 11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11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Правилами устройства и безопасной эксплуатации грузоподъемных кранов [</w:t>
      </w:r>
      <w:hyperlink r:id="rId24" w:anchor="i204695" w:tooltip="Литература 10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10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Инструкцией по технике безопасности для электросварщиков на строительстве магистральных трубопроводов [</w:t>
      </w:r>
      <w:hyperlink r:id="rId25" w:anchor="i224518" w:tooltip="Литература 12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12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5.1.2. Повторный инструктаж по технике безопасности должен производиться для рабочих всех квалификаций и специальностей не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реже 1 раза в три месяца и немедленно при изменении технологии, условий или характера работ. Проведение инструктажа регистрируется в специальном журнале.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5.1.3. При выполнении работ с применением материалов, содержащих токсичные компоненты, рабочие должны обеспечиваться соответствующими индивидуальными защитными средствами (масками, очками, перчатками, спецодеждой и спецобувью).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 должны быть проверены и исправны. Рабочих следует подробно проинструктировать и научить пользоваться этими средствами.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5.1.4. Все работающие в трассовых условиях рабочие должны быть постоянно обеспечены питьевой водой в соответствии с действующими санитарными нормами.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 Сборочно-сварочные работы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5.2.1. В котловане на место сварки стыка следует выкопать приямок глубиной 0,</w:t>
      </w:r>
      <w:r w:rsidRPr="009F763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5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спуска рабочих в котлованы необходимо устраивать в грунте спуски (пандусы) со ступеньками или применять инвентарные переносные лестницы.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5.2.2. При центровке захлестов в котловане все операции по подъему и спуску концов плетей следует производить под непосредственным руководством мастера или бригадира.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Инструмент, необходимый для работы, надо укладывать не ближе 0,5 м от бровки траншеи или котлована.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Запрещается складывать материалы и инструменты на откосе отвала земли со стороны траншеи или котлована.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5.2.3. Совместная одновременная работа газорезчика и электросварщика в котловане запрещается.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5.2.4. Расстояние между сварочными кабелями и шлангами, подводящими кислород, ацетилен или другой горючий газ должно быть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менее 1 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5.2.5. Запрещается переносить баллоны с газом на плечах и на руках. Для транспортировки баллонов необходимо пользоваться специальными носилками, тележками или санками.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Баллоны запрещается сбрасывать, подвергать ударам,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толчкам, нельзя также сгружать их предохранительными колпаками книзу.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5.2.6. Подготовленные к работе баллоны с газом необходимо защищать от воздействия прямых солнечных лучей и устанавливать на специальных подставках в вертикальном положении в стороне от проходов, электрических проводов и т.п. При перерывах в работе запрещается оставлять без надзора заряженные баллоны.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5.2.7. При зачистке фасок труб необходимо пользоваться закрытыми защитными очками.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5.2.8. При зачистке фасок пневматической ручной машинкой необходимо соблюдать следующие требования: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присоединять и разъединять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шланги можно только после прекращения подачи воздуха;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 присоединением к инструменту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шланг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следует продуть (во время продувки нельзя находиться перед выходным отверстием шланга);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крепить шланги к штуцеру и один к другому следует с помощью специальных зажимов, не допускается крепление проволокой.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5.2.9. Электросварщик должен носить положенную спецодежду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защитные приспособления.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5.2.10. Во избежание простудных заболеваний электросварщик</w:t>
      </w:r>
      <w:r w:rsidRPr="009F7633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потолочники должны быть обеспечены войлочными подстилками или матами с резиновой прокладкой, теплыми ватными наколенниками и подлокотниками, обшитыми брезентом.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5.2.11. При дуговой сварке для подвода тока к электроду следует применять гибкий шланговый кабель, предусмотренный заводом-изготовителем. Изоляция проводов должна быть защищена от механических повреждений.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5.2.12. Сварочный и обратный провода следует прокладывать так, чтобы они не касались стальных канатов, шлангов для кислорода и ацетилена и проходящие машины не могли повредить их.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5.2.13. Перед началом и во время работы необходимо следить за исправностью изоляции сварочных проводов и электрододержателей, а также плотностью соединения контактов.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5.2.14. Если обнаружены неисправности сварочного агрегата, сварочных проводов, электрододержателя или маски электросварщика, необходимо немедленно прекратить работу.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5.2.15. Электросварщику запрещается: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оставлять электрододержатель под напряжением при перерывах в работе;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допускать в зону производства сварочных работ (на расстоянии 5 м) посторонних и лиц, непосредственно не занятых на сварке;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касаться руками горячего электрода и нагретых мест свариваемых труб;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производить сварочные работы при недостаточном освещении рабочего места;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исправлять повреждение в сварочном агрегате.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 Изоляционные работы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5.3.1. Пробки бочек, заполненных грунтовкой или бензином, (а также порожних из-под этих материалов) нельзя вывинчивать ударами молотка по зубилу. Для этого надо пользоваться только специальными ключами.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5.3.2. Места, где были пролиты грунтовка или бензин, следует присыпать песком или землей.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5.3.3. Для осмотра нижней поверхности трубопровода и определения качества очистки необходимо пользоваться зеркалом в металлической оправе с изогнутой рукояткой.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5.3.4. Чтобы не отравиться парами грунтовки при нанесении ее ручным способом, рабочему следует находиться с наветренной стороны. Грунтовку трубопровода в котловане выполняют двое рабочих поочередно.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5.3.5. Изолировщики должны работать в спецодежде, предусмотренной типовыми отраслевыми нормами. Брюки следует носить навыпуск.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Если воздух насыщен углекислым газом, парами бензина или пылью необходимо работать в защитных очках (при нанесении грунтовки или других работах, при которых может разбрызгиваться мастика).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5.3.6. При производстве изоляционных работ запрещено: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переносить битумную грунтовку в открытых сосудах;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курить при сливе, переноске и использовании битумной грунтовки;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хранить грунтовку в негерметичной таре;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неисправное оборудование и инвентарь.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трубоукладчиком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5.3.7. При монтаже захлестов и врезке катушек машинисту крана-трубоукладчика запрещено: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производить грузоподъемные и транспортные работы, используя неисправный трубоукладчик,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допускать к работе на трубоукладчике посторонних лиц;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управление и техобслуживание посторонним лицам;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смазывать и регулировать механизмы при включенных передачах во время движения или при работающем двигателе;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разрешать посторонним находиться в зоне действия крана;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грузозахватные приспособления без проверки их и испытания нагрузкой в 1,25 раза превышающей номинальную (при выдержке 10 мин).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5.3.8. При ликвидации технологических разрывов необходимо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следующие требования по технике безопасности: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допускается присутствие лиц, не имеющих прямого отношения к производству работ по подъему, перемещению и укладке труб;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предварительно приподнять звено труб на высоту не более 200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- 300 мм для проверки правильности строповки и надежности действия тормоза лебедки трубоукладчика;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допускать, чтобы </w:t>
      </w:r>
      <w:proofErr w:type="gram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работающие</w:t>
      </w:r>
      <w:proofErr w:type="gram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находились под поднятым или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перемещаемым звеном труб.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5.3.9. Машинист крана-трубоукладчика обязан: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хорошо знать свою машину;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управлять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машиной, обнаруживать причины неисправностей и устранять их;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инструкцию по техническому обслуживанию машины и своевременно выполнять изложенные в ней требования и рекомендации.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5.3.10. В процессе производства работ все машины и механизмы должны быть размещены за призмой обрушения грунта.</w:t>
      </w:r>
    </w:p>
    <w:p w:rsidR="009F7633" w:rsidRPr="009F7633" w:rsidRDefault="009F7633" w:rsidP="009F7633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  <w:bookmarkStart w:id="14" w:name="i156737"/>
      <w:r w:rsidRPr="009F7633">
        <w:rPr>
          <w:rFonts w:ascii="Times New Roman" w:eastAsia="Times New Roman" w:hAnsi="Times New Roman" w:cs="Times New Roman"/>
          <w:b/>
          <w:bCs/>
          <w:color w:val="000000"/>
          <w:spacing w:val="40"/>
          <w:kern w:val="36"/>
          <w:sz w:val="24"/>
          <w:szCs w:val="24"/>
          <w:lang w:val="ru-RU"/>
        </w:rPr>
        <w:t>ЛИТЕРАТУРА</w:t>
      </w:r>
      <w:bookmarkEnd w:id="14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bookmarkStart w:id="15" w:name="i167563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Магистральные трубопроводы. Нормы проектирования.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15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СНиП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II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-45-75. М., Стройиздат, 1979.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Магистральные трубопроводы. Правила производства и приемки работ.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meganorm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ru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Data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2/1/4294854/4294854707.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htm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"Магистральные трубопроводы" </w:instrTex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spellEnd"/>
      <w:r w:rsidRPr="009F763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 xml:space="preserve">СНиП </w:t>
      </w:r>
      <w:r w:rsidRPr="009F763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</w:rPr>
        <w:t>III</w:t>
      </w:r>
      <w:r w:rsidRPr="009F7633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val="ru-RU"/>
        </w:rPr>
        <w:t>-42-80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М., Стройиздат, 1981.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bookmarkStart w:id="16" w:name="i178780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Техника безопасности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16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строительстве.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6" w:tooltip="Техника безопасности в строительстве" w:history="1"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СНиП</w:t>
        </w:r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 III</w:t>
        </w:r>
        <w:r w:rsidRPr="009F7633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val="ru-RU"/>
          </w:rPr>
          <w:t>-4-80</w:t>
        </w:r>
      </w:hyperlink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М., Стройиздат, 1981.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Руководство по технологии сварки запорной арматуры при сооружении трубопроводов. Р 167-74. М., 1975 (ВНИИСТ).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Указания по производству работ при сооружении стальных трубопроводов. ВСН 1-24-73. М., 1973 (ВНИИСТ).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Тарифно-квалификационный справочник работ и профессий рабочих, занятых в строительстве и на ремонтно-строительных работах. М., Стройиздат, 1969.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bookmarkStart w:id="17" w:name="i183510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</w:t>
      </w:r>
      <w:bookmarkEnd w:id="17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едомственные нормы и расценки на строительные, монтажные и ремонтно-строительные работы. В 31. М., 1979 (Нефтегазстройтруд).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i198144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Правил</w:t>
      </w:r>
      <w:bookmarkEnd w:id="18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техники безопасности при строительстве магистральных стальных трубопроводов. </w:t>
      </w:r>
      <w:proofErr w:type="gram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proofErr w:type="gram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Недра</w:t>
      </w:r>
      <w:proofErr w:type="spellEnd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, 1972.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9. Сборник инструкций и рекомендаций по технике безопасности при сварочно-монтажных работах. М., Недра, 1972.</w:t>
      </w:r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bookmarkStart w:id="19" w:name="i204695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10. Правила устройства и безопасной эксплуатации грузоподъемных кранов. М., Металлургия, 1979.</w:t>
      </w:r>
      <w:bookmarkEnd w:id="19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bookmarkStart w:id="20" w:name="i217836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11. Сборник инструкций и рекомендаций по технике безопасности для строительно-монтажных организаций нефтяной и газовой промышленности. М., Недра, 1973.</w:t>
      </w:r>
      <w:bookmarkEnd w:id="20"/>
    </w:p>
    <w:p w:rsidR="009F7633" w:rsidRPr="009F7633" w:rsidRDefault="009F7633" w:rsidP="009F7633">
      <w:pPr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i224518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12. Инструкция по технике безопасности для электросварщиков на строительстве магистральных трубопроводов. </w:t>
      </w:r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М., 1969 (</w:t>
      </w:r>
      <w:bookmarkEnd w:id="21"/>
      <w:r w:rsidRPr="009F7633">
        <w:rPr>
          <w:rFonts w:ascii="Times New Roman" w:eastAsia="Times New Roman" w:hAnsi="Times New Roman" w:cs="Times New Roman"/>
          <w:color w:val="000000"/>
          <w:sz w:val="24"/>
          <w:szCs w:val="24"/>
        </w:rPr>
        <w:t>ВНИИСТ).</w:t>
      </w:r>
    </w:p>
    <w:p w:rsidR="009F7633" w:rsidRPr="009F7633" w:rsidRDefault="009F7633" w:rsidP="009F7633">
      <w:pPr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03"/>
      </w:tblGrid>
      <w:tr w:rsidR="009F7633" w:rsidRPr="009F7633" w:rsidTr="009F7633">
        <w:trPr>
          <w:jc w:val="center"/>
        </w:trPr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anchor="i16743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Введение</w:t>
              </w:r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 w:anchor="i28963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</w:t>
              </w:r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Область применения</w:t>
              </w:r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9" w:anchor="i34764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</w:t>
              </w:r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Организация и технология производства работ</w:t>
              </w:r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 w:anchor="i114270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III</w:t>
              </w:r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Технико-экономические показатели</w:t>
              </w:r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1" w:anchor="i121153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IV</w:t>
              </w:r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. Материально-технические ресурс</w:t>
              </w:r>
              <w:proofErr w:type="spellStart"/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ru-RU"/>
                </w:rPr>
                <w:t>ы</w:t>
              </w:r>
              <w:proofErr w:type="spellEnd"/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148994" w:history="1"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V. </w:t>
              </w:r>
              <w:proofErr w:type="spellStart"/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Техника</w:t>
              </w:r>
              <w:proofErr w:type="spellEnd"/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безопасности</w:t>
              </w:r>
              <w:proofErr w:type="spellEnd"/>
            </w:hyperlink>
          </w:p>
          <w:p w:rsidR="009F7633" w:rsidRPr="009F7633" w:rsidRDefault="009F7633" w:rsidP="009F7633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156737" w:history="1">
              <w:proofErr w:type="spellStart"/>
              <w:r w:rsidRPr="009F7633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Литература</w:t>
              </w:r>
              <w:proofErr w:type="spellEnd"/>
            </w:hyperlink>
          </w:p>
        </w:tc>
      </w:tr>
    </w:tbl>
    <w:p w:rsidR="00F839AC" w:rsidRPr="009F7633" w:rsidRDefault="00F839AC" w:rsidP="009F7633"/>
    <w:sectPr w:rsidR="00F839AC" w:rsidRPr="009F7633" w:rsidSect="00F8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36F9E"/>
    <w:rsid w:val="00536F9E"/>
    <w:rsid w:val="009F7633"/>
    <w:rsid w:val="00F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AC"/>
  </w:style>
  <w:style w:type="paragraph" w:styleId="1">
    <w:name w:val="heading 1"/>
    <w:basedOn w:val="a"/>
    <w:link w:val="10"/>
    <w:uiPriority w:val="9"/>
    <w:qFormat/>
    <w:rsid w:val="0053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6F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36F9E"/>
  </w:style>
  <w:style w:type="character" w:styleId="a3">
    <w:name w:val="Hyperlink"/>
    <w:basedOn w:val="a0"/>
    <w:uiPriority w:val="99"/>
    <w:semiHidden/>
    <w:unhideWhenUsed/>
    <w:rsid w:val="00536F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F9E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semiHidden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53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://meganorm.ru/Data2/1/4294854/4294854898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ganorm.ru/Data2/1/4294814/4294814508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eganorm.ru/Data2/1/4294814/4294814508.htm" TargetMode="External"/><Relationship Id="rId12" Type="http://schemas.openxmlformats.org/officeDocument/2006/relationships/hyperlink" Target="http://meganorm.ru/Data2/1/4294814/4294814508.htm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meganorm.ru/Data2/1/4294814/4294814508.htm" TargetMode="External"/><Relationship Id="rId33" Type="http://schemas.openxmlformats.org/officeDocument/2006/relationships/hyperlink" Target="http://meganorm.ru/Data2/1/4294814/4294814508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ganorm.ru/Data2/1/4294814/4294814508.htm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://meganorm.ru/Data2/1/4294814/429481450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eganorm.ru/Data2/1/4294814/4294814508.htm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meganorm.ru/Data2/1/4294814/4294814508.htm" TargetMode="External"/><Relationship Id="rId32" Type="http://schemas.openxmlformats.org/officeDocument/2006/relationships/hyperlink" Target="http://meganorm.ru/Data2/1/4294814/4294814508.htm" TargetMode="External"/><Relationship Id="rId5" Type="http://schemas.openxmlformats.org/officeDocument/2006/relationships/hyperlink" Target="http://meganorm.ru/Data2/1/4294814/4294814508.htm" TargetMode="External"/><Relationship Id="rId15" Type="http://schemas.openxmlformats.org/officeDocument/2006/relationships/hyperlink" Target="http://meganorm.ru/Data2/1/4294814/4294814508.htm" TargetMode="External"/><Relationship Id="rId23" Type="http://schemas.openxmlformats.org/officeDocument/2006/relationships/hyperlink" Target="http://meganorm.ru/Data2/1/4294814/4294814508.htm" TargetMode="External"/><Relationship Id="rId28" Type="http://schemas.openxmlformats.org/officeDocument/2006/relationships/hyperlink" Target="http://meganorm.ru/Data2/1/4294814/4294814508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eganorm.ru/Data2/1/4294814/4294814508.htm" TargetMode="External"/><Relationship Id="rId31" Type="http://schemas.openxmlformats.org/officeDocument/2006/relationships/hyperlink" Target="http://meganorm.ru/Data2/1/4294814/4294814508.htm" TargetMode="External"/><Relationship Id="rId4" Type="http://schemas.openxmlformats.org/officeDocument/2006/relationships/hyperlink" Target="http://meganorm.ru/Data2/1/4294814/4294814508.htm" TargetMode="External"/><Relationship Id="rId9" Type="http://schemas.openxmlformats.org/officeDocument/2006/relationships/hyperlink" Target="http://meganorm.ru/Data2/1/4294814/4294814508.htm" TargetMode="External"/><Relationship Id="rId14" Type="http://schemas.openxmlformats.org/officeDocument/2006/relationships/hyperlink" Target="http://meganorm.ru/Data2/1/4294814/4294814508.htm" TargetMode="External"/><Relationship Id="rId22" Type="http://schemas.openxmlformats.org/officeDocument/2006/relationships/hyperlink" Target="http://meganorm.ru/Data2/1/4294814/4294814508.htm" TargetMode="External"/><Relationship Id="rId27" Type="http://schemas.openxmlformats.org/officeDocument/2006/relationships/hyperlink" Target="http://meganorm.ru/Data2/1/4294814/4294814508.htm" TargetMode="External"/><Relationship Id="rId30" Type="http://schemas.openxmlformats.org/officeDocument/2006/relationships/hyperlink" Target="http://meganorm.ru/Data2/1/4294814/4294814508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4441</Words>
  <Characters>25319</Characters>
  <Application>Microsoft Office Word</Application>
  <DocSecurity>0</DocSecurity>
  <Lines>210</Lines>
  <Paragraphs>59</Paragraphs>
  <ScaleCrop>false</ScaleCrop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2016-04-14T14:36:00Z</dcterms:created>
  <dcterms:modified xsi:type="dcterms:W3CDTF">2016-04-14T14:36:00Z</dcterms:modified>
</cp:coreProperties>
</file>